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1B" w:rsidRDefault="00A218D6">
      <w:pPr>
        <w:tabs>
          <w:tab w:val="center" w:pos="7285"/>
          <w:tab w:val="left" w:pos="1362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E17E1B" w:rsidRDefault="00C62D01">
      <w:pPr>
        <w:tabs>
          <w:tab w:val="center" w:pos="7285"/>
          <w:tab w:val="left" w:pos="1362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 447</w:t>
      </w:r>
      <w:r w:rsidR="00A218D6">
        <w:rPr>
          <w:rFonts w:ascii="Times New Roman" w:hAnsi="Times New Roman" w:cs="Times New Roman"/>
          <w:sz w:val="32"/>
          <w:szCs w:val="32"/>
        </w:rPr>
        <w:t xml:space="preserve"> г. Челябинска»</w:t>
      </w:r>
    </w:p>
    <w:p w:rsidR="00E17E1B" w:rsidRDefault="00E17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E1B" w:rsidRDefault="00A218D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Дидактическое пособие куб-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трансформер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«Родной край»</w:t>
      </w:r>
    </w:p>
    <w:p w:rsidR="00E17E1B" w:rsidRDefault="00E17E1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E17E1B">
        <w:trPr>
          <w:trHeight w:val="2835"/>
          <w:jc w:val="center"/>
        </w:trPr>
        <w:tc>
          <w:tcPr>
            <w:tcW w:w="8504" w:type="dxa"/>
            <w:gridSpan w:val="2"/>
          </w:tcPr>
          <w:p w:rsidR="00E17E1B" w:rsidRDefault="00A218D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31827" cy="1676400"/>
                      <wp:effectExtent l="19050" t="0" r="1823" b="0"/>
                      <wp:docPr id="1" name="Рисунок 1" descr="I:\DCIM\130D7000\DSC_443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:\DCIM\130D7000\DSC_4433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48942" cy="16877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9.36pt;height:132.00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E17E1B">
        <w:trPr>
          <w:trHeight w:val="2835"/>
          <w:jc w:val="center"/>
        </w:trPr>
        <w:tc>
          <w:tcPr>
            <w:tcW w:w="4252" w:type="dxa"/>
          </w:tcPr>
          <w:p w:rsidR="00E17E1B" w:rsidRDefault="00A218D6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31824" cy="1676400"/>
                      <wp:effectExtent l="19050" t="0" r="1826" b="0"/>
                      <wp:docPr id="2" name="Рисунок 2" descr="I:\DCIM\130D7000\DSC_443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:\DCIM\130D7000\DSC_4432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37976" cy="16804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99.36pt;height:132.00pt;mso-wrap-distance-left:0.00pt;mso-wrap-distance-top:0.00pt;mso-wrap-distance-right:0.00pt;mso-wrap-distance-bottom:0.00pt;" stroked="f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252" w:type="dxa"/>
          </w:tcPr>
          <w:p w:rsidR="00E17E1B" w:rsidRDefault="00A218D6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31825" cy="1676400"/>
                      <wp:effectExtent l="19050" t="0" r="1825" b="0"/>
                      <wp:docPr id="3" name="Рисунок 3" descr="I:\DCIM\130D7000\DSC_442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:\DCIM\130D7000\DSC_4429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42888" cy="1683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99.36pt;height:132.00pt;mso-wrap-distance-left:0.00pt;mso-wrap-distance-top:0.00pt;mso-wrap-distance-right:0.00pt;mso-wrap-distance-bottom:0.00pt;" stroked="f" strokeweight="0.75pt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</w:tbl>
    <w:p w:rsidR="00C62D01" w:rsidRDefault="00C62D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C62D01" w:rsidRDefault="00C62D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C62D01" w:rsidRDefault="00C62D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Дидактическое пособие куб-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«Родной край» предназначено для работы с детьми старшего дошкольного возраста, в качестве эффективного средства в усвоении программного материала регионального компонента программы дошкольниками. 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</w:t>
      </w:r>
      <w:r>
        <w:rPr>
          <w:rFonts w:ascii="Times New Roman" w:hAnsi="Times New Roman" w:cs="Times New Roman"/>
          <w:sz w:val="28"/>
          <w:szCs w:val="28"/>
        </w:rPr>
        <w:t>е представляет собой 8 кубиков одинакового размера, изготовленных из картона и скреплённых между собой шарнирно скотчем. На каждой грани куба расположены прозрачные карманы, предназначенные для сменного материала, всего 40 карманов. Для размещения дидактич</w:t>
      </w:r>
      <w:r>
        <w:rPr>
          <w:rFonts w:ascii="Times New Roman" w:hAnsi="Times New Roman" w:cs="Times New Roman"/>
          <w:sz w:val="28"/>
          <w:szCs w:val="28"/>
        </w:rPr>
        <w:t>еского материала на кубе можно получить несколько плоскостей по 4, 6 или 8 карманов. Чем меньше кубы по размеру, тем мобильнее пособие.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Характеристика: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быть использовано как в совместной деятельности взрослого и детей, так и в индивидуальной работ</w:t>
      </w:r>
      <w:r>
        <w:rPr>
          <w:rFonts w:ascii="Times New Roman" w:hAnsi="Times New Roman" w:cs="Times New Roman"/>
          <w:sz w:val="28"/>
          <w:szCs w:val="28"/>
        </w:rPr>
        <w:t>е вне занятия, а также может использоваться воспитанниками в самостоятельной деятельности.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развитию у ребенка любознательности и познавательной мотивации; развитию умение сопоставлять, обобщать, анализировать; пополнению образовательного баг</w:t>
      </w:r>
      <w:r>
        <w:rPr>
          <w:rFonts w:ascii="Times New Roman" w:hAnsi="Times New Roman" w:cs="Times New Roman"/>
          <w:sz w:val="28"/>
          <w:szCs w:val="28"/>
        </w:rPr>
        <w:t xml:space="preserve">ажа ребенка новым познавательным содержанием (понятиями и представлениями); активизации речи детей. 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использоваться как на этапе изучения нового материала, так и на этапе его закрепления.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куба-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том, что все основные сведе</w:t>
      </w:r>
      <w:r>
        <w:rPr>
          <w:rFonts w:ascii="Times New Roman" w:hAnsi="Times New Roman" w:cs="Times New Roman"/>
          <w:sz w:val="28"/>
          <w:szCs w:val="28"/>
        </w:rPr>
        <w:t>ния о родном крае разместились на одном дидактическом пособии. Педагог имеет под рукой грамотно подобранный наглядный материал по изучаемым темам программы, а работу с воспитанниками может организовать в игровой форме. Куб-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интересен тем, что в </w:t>
      </w:r>
      <w:r>
        <w:rPr>
          <w:rFonts w:ascii="Times New Roman" w:hAnsi="Times New Roman" w:cs="Times New Roman"/>
          <w:sz w:val="28"/>
          <w:szCs w:val="28"/>
        </w:rPr>
        <w:t>процессе его трансформации картинки могут расположиться в разном порядке и, используя один и тот же наглядный материал, беседы с воспитанниками могут строиться по-разному, а при необходимости наглядный материал можно легко заменить. Процесс игры с кубом, е</w:t>
      </w:r>
      <w:r>
        <w:rPr>
          <w:rFonts w:ascii="Times New Roman" w:hAnsi="Times New Roman" w:cs="Times New Roman"/>
          <w:sz w:val="28"/>
          <w:szCs w:val="28"/>
        </w:rPr>
        <w:t>го трансформация завораживает детей, повышая тем самым интерес к образовательному материалу.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развивающей предметно-пространственной среде группы занимает место в «уголке краеведения».</w:t>
      </w:r>
    </w:p>
    <w:p w:rsidR="00E17E1B" w:rsidRDefault="00E17E1B">
      <w:pPr>
        <w:rPr>
          <w:rFonts w:ascii="Times New Roman" w:hAnsi="Times New Roman" w:cs="Times New Roman"/>
          <w:sz w:val="28"/>
          <w:szCs w:val="28"/>
        </w:rPr>
      </w:pP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Раскладывая куб-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получить четыре плоскости по вос</w:t>
      </w:r>
      <w:r>
        <w:rPr>
          <w:rFonts w:ascii="Times New Roman" w:hAnsi="Times New Roman" w:cs="Times New Roman"/>
          <w:sz w:val="28"/>
          <w:szCs w:val="28"/>
        </w:rPr>
        <w:t>емь карманов и две плоскости по четыре кармана. Мы предлагаем каждые из этих плоскостей посвятить определенной теме и разместить соответствующие картинки.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«Быт и традиции русского народа».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и обобщение представлений детей о быте, основных традициях и культуре русского народа.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«Мужской и женский национальный русский костюм», «Лапти и валенки», «Изба русская», «Женщины косят траву», «Большой семьи за чаепитие</w:t>
      </w:r>
      <w:r>
        <w:rPr>
          <w:rFonts w:ascii="Times New Roman" w:hAnsi="Times New Roman" w:cs="Times New Roman"/>
          <w:sz w:val="28"/>
          <w:szCs w:val="28"/>
        </w:rPr>
        <w:t>м из самовара», «Блины», «Матрешка», «Крестьянин пашет землю».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ход беседы: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детей на сторону куба, на которой размещены картинки «Лапти и валенки», «Изба русская», «Блины», «Матрешка»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народе хочется рассказать, глядя на</w:t>
      </w:r>
      <w:r>
        <w:rPr>
          <w:rFonts w:ascii="Times New Roman" w:hAnsi="Times New Roman" w:cs="Times New Roman"/>
          <w:sz w:val="28"/>
          <w:szCs w:val="28"/>
        </w:rPr>
        <w:t xml:space="preserve"> эти картинки? Почему?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Разворачиваем куб, добавляя две картинки: «Мужской и женский национальный русский костюм», «Большой семьи за чаепитием из самовара».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эти картинки отнести к описанию русского народа? Почему?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Разворачиваем куб, добавляя две </w:t>
      </w:r>
      <w:r>
        <w:rPr>
          <w:rFonts w:ascii="Times New Roman" w:hAnsi="Times New Roman" w:cs="Times New Roman"/>
          <w:sz w:val="28"/>
          <w:szCs w:val="28"/>
        </w:rPr>
        <w:t>картинки: «Женщины-крестьянки косят траву», «Мужчины-крестьяне пашут землю».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еще можно рассказать о русском народе, опираясь на картинки?</w:t>
      </w:r>
    </w:p>
    <w:p w:rsidR="00E17E1B" w:rsidRDefault="00A218D6">
      <w:pPr>
        <w:tabs>
          <w:tab w:val="left" w:pos="58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еще знаешь о русском народе?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17E1B" w:rsidRDefault="00E17E1B">
      <w:pPr>
        <w:tabs>
          <w:tab w:val="left" w:pos="58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«Птицы нашего края»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представлений детей о птицах р</w:t>
      </w:r>
      <w:r>
        <w:rPr>
          <w:rFonts w:ascii="Times New Roman" w:hAnsi="Times New Roman" w:cs="Times New Roman"/>
          <w:sz w:val="28"/>
          <w:szCs w:val="28"/>
        </w:rPr>
        <w:t>одного края.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«Глухарь», «Белая сова», «Дятел», «Павлин»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 лишнюю картинку. Объясни почему.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птиц родного края ты еще знаешь?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Тема: «Быт и традиции татарского и башкирского народа».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и обобщение представлен</w:t>
      </w:r>
      <w:r>
        <w:rPr>
          <w:rFonts w:ascii="Times New Roman" w:hAnsi="Times New Roman" w:cs="Times New Roman"/>
          <w:sz w:val="28"/>
          <w:szCs w:val="28"/>
        </w:rPr>
        <w:t>ий детей о быте, основных традициях и культуре татарского и башкирского народа.</w:t>
      </w:r>
    </w:p>
    <w:p w:rsidR="00E17E1B" w:rsidRDefault="00A2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«Бочонок с медом», «Мужской и женский национальный башкирский костюм», «Мужской и женский национальный татарский костюм», «Татарская узорная обувь из кожи»,</w:t>
      </w:r>
      <w:r>
        <w:rPr>
          <w:rFonts w:ascii="Times New Roman" w:hAnsi="Times New Roman" w:cs="Times New Roman"/>
          <w:sz w:val="28"/>
          <w:szCs w:val="28"/>
        </w:rPr>
        <w:t xml:space="preserve"> «Традиционная забава на празднике Сабантуй - бой мешками на бревне»,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«Юрта», «Тюбетейка».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ход беседы: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Трансформируем куб в длинный прямоугольник, на котором размещены четыре картинки: «Традиционная забава на празднике Сабантуй - бой мешками на бревне»,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«Юрта», «Тюбетейка».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народе хочется рассказать, глядя на эти картинки? Почему?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</w:t>
      </w:r>
      <w:r>
        <w:rPr>
          <w:rFonts w:ascii="Times New Roman" w:hAnsi="Times New Roman" w:cs="Times New Roman"/>
          <w:sz w:val="28"/>
          <w:szCs w:val="28"/>
        </w:rPr>
        <w:t>рачиваем куб, добавляя четыре картинки: «Бочонок с медом», «Мужской и женский национальный башкирский костюм», «Мужской и женский национальный татарский костюм», «Татарская узорная обувь из кожи».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 добавленных картинок повествуют о татарском наро</w:t>
      </w:r>
      <w:r>
        <w:rPr>
          <w:rFonts w:ascii="Times New Roman" w:hAnsi="Times New Roman" w:cs="Times New Roman"/>
          <w:sz w:val="28"/>
          <w:szCs w:val="28"/>
        </w:rPr>
        <w:t>де, а какие о башкирском? Почему?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еще знаешь о башкирском народе?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еще знаешь о татарском народе?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похожи русские, татары и башкиры?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«Животный мир родного края»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представлений детей о диких животных родного края.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«Рысь», «Выдра, «Лось», «Верблюд»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«Четвертый лишний»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 лишнюю картинку. Объясни почему.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изображение верблюда есть на гербе Челябинска?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диких животных родного края ты еще знаешь?</w:t>
      </w:r>
    </w:p>
    <w:p w:rsidR="00E17E1B" w:rsidRDefault="00A21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Тема: «Город, в котором я живу».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и обобщение представлений детей о городе Челябинск, Калининском районе.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«Челябинский кукольный театр», «Челябинский цирк», «герб Челябинска», «Танк-памятник», «Ледовая арена трактор», «Де</w:t>
      </w:r>
      <w:r w:rsidR="00C62D01">
        <w:rPr>
          <w:rFonts w:ascii="Times New Roman" w:hAnsi="Times New Roman" w:cs="Times New Roman"/>
          <w:sz w:val="28"/>
          <w:szCs w:val="28"/>
        </w:rPr>
        <w:t>тский сад № 447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», «Челябинский метеорит», «Скульптуры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ход беседы: 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детям поиграть с кубом, трансформировать его разными способами.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Собери так, чтобы картинки на одной стороне куба могли рассказать о Челябинске. 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</w:t>
      </w:r>
      <w:r>
        <w:rPr>
          <w:rFonts w:ascii="Times New Roman" w:hAnsi="Times New Roman" w:cs="Times New Roman"/>
          <w:sz w:val="28"/>
          <w:szCs w:val="28"/>
        </w:rPr>
        <w:t>орят картинки?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еще можешь рассказать о Челябинске?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(Возможны пять вариантов раскладки куба-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данной теме).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на один вариант раскладки куба, когда складываются вместе следующие картинки «Челябинский кукольный театр», </w:t>
      </w:r>
      <w:r>
        <w:rPr>
          <w:rFonts w:ascii="Times New Roman" w:hAnsi="Times New Roman" w:cs="Times New Roman"/>
          <w:sz w:val="28"/>
          <w:szCs w:val="28"/>
        </w:rPr>
        <w:t>«Челябинский цирк», «Ледовая ар</w:t>
      </w:r>
      <w:r w:rsidR="00C62D01">
        <w:rPr>
          <w:rFonts w:ascii="Times New Roman" w:hAnsi="Times New Roman" w:cs="Times New Roman"/>
          <w:sz w:val="28"/>
          <w:szCs w:val="28"/>
        </w:rPr>
        <w:t>ена трактор», «Детский сад № 447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эти картинки расположились на одной стороне куба?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еще знаешь о Калининском районе Челябинска?</w:t>
      </w:r>
    </w:p>
    <w:p w:rsidR="00E17E1B" w:rsidRDefault="00E17E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7E1B" w:rsidRDefault="00A218D6">
      <w:pPr>
        <w:tabs>
          <w:tab w:val="left" w:pos="593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«Богатства» Южного Урала»</w:t>
      </w:r>
    </w:p>
    <w:p w:rsidR="00E17E1B" w:rsidRDefault="00A218D6">
      <w:pPr>
        <w:tabs>
          <w:tab w:val="left" w:pos="593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уточнение и обобщение представления детей о природных особенностях, достопримечательностях родного края; повышение интереса к труду уральских мастеров.</w:t>
      </w:r>
    </w:p>
    <w:p w:rsidR="00E17E1B" w:rsidRDefault="00A218D6">
      <w:pPr>
        <w:tabs>
          <w:tab w:val="left" w:pos="593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материал: «Уральские горы», «Озеро Тургояк», «Уральский смешанный лес», «Степь», «Уральс</w:t>
      </w:r>
      <w:r>
        <w:rPr>
          <w:rFonts w:ascii="Times New Roman" w:hAnsi="Times New Roman" w:cs="Times New Roman"/>
          <w:sz w:val="28"/>
          <w:szCs w:val="28"/>
        </w:rPr>
        <w:t>кие самоцветы»,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литье», «Златоустовская гравюра», «Серебряное копытце».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ход беседы: 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для рассматривания детям самый статичный разворот куба-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восьми картинок.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картинки размещены вместе?</w:t>
      </w:r>
    </w:p>
    <w:p w:rsidR="00E17E1B" w:rsidRDefault="00A218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говор</w:t>
      </w:r>
      <w:r>
        <w:rPr>
          <w:rFonts w:ascii="Times New Roman" w:hAnsi="Times New Roman" w:cs="Times New Roman"/>
          <w:sz w:val="28"/>
          <w:szCs w:val="28"/>
        </w:rPr>
        <w:t>ят - «Богатства» Южного Урала»?</w:t>
      </w:r>
    </w:p>
    <w:p w:rsidR="00E17E1B" w:rsidRDefault="00A218D6">
      <w:pPr>
        <w:tabs>
          <w:tab w:val="left" w:pos="593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ты можешь рассказать по каждой картинке.</w:t>
      </w:r>
    </w:p>
    <w:p w:rsidR="00E17E1B" w:rsidRDefault="00E17E1B">
      <w:pPr>
        <w:tabs>
          <w:tab w:val="left" w:pos="593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E1B" w:rsidRDefault="00E17E1B"/>
    <w:p w:rsidR="00E17E1B" w:rsidRDefault="00A21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a"/>
        <w:tblW w:w="13269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610"/>
        <w:gridCol w:w="2268"/>
        <w:gridCol w:w="1985"/>
        <w:gridCol w:w="2153"/>
      </w:tblGrid>
      <w:tr w:rsidR="00E17E1B">
        <w:trPr>
          <w:jc w:val="center"/>
        </w:trPr>
        <w:tc>
          <w:tcPr>
            <w:tcW w:w="11116" w:type="dxa"/>
            <w:gridSpan w:val="5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Возможность (варианты) использования данного пособия в работе по решению задач образовательных областей (сделать краткое описание того, как можно использовать пособие). </w:t>
            </w:r>
          </w:p>
        </w:tc>
        <w:tc>
          <w:tcPr>
            <w:tcW w:w="2153" w:type="dxa"/>
            <w:vMerge w:val="restart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ожнение </w:t>
            </w:r>
          </w:p>
        </w:tc>
      </w:tr>
      <w:tr w:rsidR="00E17E1B">
        <w:trPr>
          <w:jc w:val="center"/>
        </w:trPr>
        <w:tc>
          <w:tcPr>
            <w:tcW w:w="2268" w:type="dxa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1985" w:type="dxa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Речевое развитие</w:t>
            </w:r>
          </w:p>
        </w:tc>
        <w:tc>
          <w:tcPr>
            <w:tcW w:w="2610" w:type="dxa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2268" w:type="dxa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1985" w:type="dxa"/>
          </w:tcPr>
          <w:p w:rsidR="00E17E1B" w:rsidRDefault="00A21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2153" w:type="dxa"/>
            <w:vMerge/>
          </w:tcPr>
          <w:p w:rsidR="00E17E1B" w:rsidRDefault="00E17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E1B">
        <w:trPr>
          <w:jc w:val="center"/>
        </w:trPr>
        <w:tc>
          <w:tcPr>
            <w:tcW w:w="2268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Игра: Сюжетно-ролевая игра «Поход в музей русской избы», «Музей народной игрушки»;</w:t>
            </w:r>
          </w:p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Дидактическая игра «Где это можно увидеть», «Найди лишнее»;</w:t>
            </w:r>
          </w:p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Беседы «Русская семья»; «Мой город», «Традиции народов Южного Урала», </w:t>
            </w:r>
          </w:p>
        </w:tc>
        <w:tc>
          <w:tcPr>
            <w:tcW w:w="1985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рассказа-описания, составление загадок по картинкам, </w:t>
            </w:r>
          </w:p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Речевые игры </w:t>
            </w:r>
          </w:p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«Назови и опиши» и др.</w:t>
            </w:r>
          </w:p>
          <w:p w:rsidR="00E17E1B" w:rsidRDefault="00E1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Можно использовать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изучении таких тем как «Быт и традиции русского народа», «Быт и традиции татарского и башкирского народа», «Город, в котором я живу», «Богатства» Южного Урала», «Животный мир родного края», «Птицы нашего края»</w:t>
            </w:r>
          </w:p>
          <w:p w:rsidR="00E17E1B" w:rsidRDefault="00E1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Беседы о творчестве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южноуральских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умельцах,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ремеслах Южного Урала,</w:t>
            </w:r>
          </w:p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Дидактическая игра: «Узнай узор», «Какое ремесло», «Какой вид росписи»</w:t>
            </w:r>
          </w:p>
        </w:tc>
        <w:tc>
          <w:tcPr>
            <w:tcW w:w="1985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Беседы о спортсменах Южного Урала, видах спорта популярных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южноуральцев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о спортивных сооружениях города и области</w:t>
            </w:r>
          </w:p>
        </w:tc>
        <w:tc>
          <w:tcPr>
            <w:tcW w:w="2153" w:type="dxa"/>
          </w:tcPr>
          <w:p w:rsidR="00E17E1B" w:rsidRDefault="00A218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трансформации куба можно усложнять материал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меняя иллюстративный материал, добавлять новые картинки.</w:t>
            </w:r>
          </w:p>
          <w:p w:rsidR="00E17E1B" w:rsidRDefault="00A218D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Воспитанники могут самостоятельно придумывать задания друг другу.</w:t>
            </w:r>
          </w:p>
          <w:p w:rsidR="00E17E1B" w:rsidRDefault="00E17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7E1B" w:rsidRDefault="00E17E1B"/>
    <w:sectPr w:rsidR="00E17E1B" w:rsidSect="00C62D01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D6" w:rsidRDefault="00A218D6">
      <w:pPr>
        <w:spacing w:after="0" w:line="240" w:lineRule="auto"/>
      </w:pPr>
      <w:r>
        <w:separator/>
      </w:r>
    </w:p>
  </w:endnote>
  <w:endnote w:type="continuationSeparator" w:id="0">
    <w:p w:rsidR="00A218D6" w:rsidRDefault="00A2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D6" w:rsidRDefault="00A218D6">
      <w:pPr>
        <w:spacing w:after="0" w:line="240" w:lineRule="auto"/>
      </w:pPr>
      <w:r>
        <w:separator/>
      </w:r>
    </w:p>
  </w:footnote>
  <w:footnote w:type="continuationSeparator" w:id="0">
    <w:p w:rsidR="00A218D6" w:rsidRDefault="00A2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1B"/>
    <w:rsid w:val="00A218D6"/>
    <w:rsid w:val="00C62D01"/>
    <w:rsid w:val="00E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0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85FD-84B6-4B5B-987B-C4149F41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9</cp:revision>
  <dcterms:created xsi:type="dcterms:W3CDTF">2019-05-12T11:39:00Z</dcterms:created>
  <dcterms:modified xsi:type="dcterms:W3CDTF">2026-03-30T10:06:00Z</dcterms:modified>
</cp:coreProperties>
</file>